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25624F" w:rsidRPr="004F0EF0" w:rsidRDefault="00B0535B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hyperlink r:id="rId7" w:history="1">
        <w:r w:rsidR="0025624F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25624F" w:rsidRPr="004F0EF0">
        <w:rPr>
          <w:rFonts w:ascii="PalmSprings" w:hAnsi="PalmSprings"/>
          <w:sz w:val="28"/>
          <w:szCs w:val="28"/>
        </w:rPr>
        <w:t xml:space="preserve"> </w:t>
      </w:r>
    </w:p>
    <w:p w:rsidR="0025624F" w:rsidRPr="0025624F" w:rsidRDefault="0025624F" w:rsidP="0025624F">
      <w:pPr>
        <w:jc w:val="center"/>
        <w:rPr>
          <w:b/>
          <w:i/>
          <w:color w:val="0070C0"/>
          <w:sz w:val="32"/>
          <w:szCs w:val="32"/>
        </w:rPr>
      </w:pPr>
    </w:p>
    <w:p w:rsidR="0025624F" w:rsidRPr="00743717" w:rsidRDefault="00CB6D64" w:rsidP="0025624F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743717">
        <w:rPr>
          <w:rFonts w:ascii="Arial" w:hAnsi="Arial" w:cs="Arial"/>
          <w:b/>
          <w:i/>
          <w:color w:val="002060"/>
          <w:sz w:val="32"/>
          <w:szCs w:val="32"/>
        </w:rPr>
        <w:t>ZABURZENIA PRAKS</w:t>
      </w:r>
      <w:r w:rsidR="009730C1" w:rsidRPr="00743717">
        <w:rPr>
          <w:rFonts w:ascii="Arial" w:hAnsi="Arial" w:cs="Arial"/>
          <w:b/>
          <w:i/>
          <w:color w:val="002060"/>
          <w:sz w:val="32"/>
          <w:szCs w:val="32"/>
        </w:rPr>
        <w:t>JI W DIAGNOZIE NEUROPSYCHOLOGICZNEJ</w:t>
      </w:r>
    </w:p>
    <w:p w:rsidR="0025624F" w:rsidRPr="0042577F" w:rsidRDefault="0025624F" w:rsidP="0025624F">
      <w:pPr>
        <w:jc w:val="center"/>
        <w:rPr>
          <w:rFonts w:ascii="Arial" w:hAnsi="Arial" w:cs="Arial"/>
          <w:i/>
        </w:rPr>
      </w:pPr>
      <w:r w:rsidRPr="0042577F">
        <w:rPr>
          <w:rFonts w:ascii="Arial" w:hAnsi="Arial" w:cs="Arial"/>
          <w:i/>
        </w:rPr>
        <w:t>kurs dla psychologów</w:t>
      </w:r>
      <w:r w:rsidR="00CB6D64">
        <w:rPr>
          <w:rFonts w:ascii="Arial" w:hAnsi="Arial" w:cs="Arial"/>
          <w:i/>
        </w:rPr>
        <w:t>, studentów psychologii, logopedów</w:t>
      </w:r>
    </w:p>
    <w:p w:rsidR="0025624F" w:rsidRPr="0042577F" w:rsidRDefault="0025624F" w:rsidP="0025624F">
      <w:pPr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Termin:</w:t>
      </w:r>
      <w:r w:rsidRPr="0042577F">
        <w:rPr>
          <w:rFonts w:ascii="Arial" w:hAnsi="Arial" w:cs="Arial"/>
          <w:b/>
          <w:i/>
          <w:u w:val="single"/>
          <w:lang w:val="sv-SE"/>
        </w:rPr>
        <w:t xml:space="preserve"> </w:t>
      </w:r>
      <w:r w:rsidR="00CB6D64">
        <w:rPr>
          <w:rFonts w:ascii="Arial" w:hAnsi="Arial" w:cs="Arial"/>
          <w:lang w:val="sv-SE"/>
        </w:rPr>
        <w:t>10-12</w:t>
      </w:r>
      <w:r w:rsidRPr="0042577F">
        <w:rPr>
          <w:rFonts w:ascii="Arial" w:hAnsi="Arial" w:cs="Arial"/>
          <w:lang w:val="sv-SE"/>
        </w:rPr>
        <w:t>.0</w:t>
      </w:r>
      <w:r w:rsidR="00CB6D64">
        <w:rPr>
          <w:rFonts w:ascii="Arial" w:hAnsi="Arial" w:cs="Arial"/>
          <w:lang w:val="sv-SE"/>
        </w:rPr>
        <w:t>2.2017</w:t>
      </w:r>
    </w:p>
    <w:p w:rsidR="0025624F" w:rsidRPr="0042577F" w:rsidRDefault="0025624F" w:rsidP="0025624F">
      <w:pPr>
        <w:pStyle w:val="Akapitzlist"/>
        <w:ind w:left="0"/>
        <w:rPr>
          <w:rFonts w:ascii="Arial" w:hAnsi="Arial" w:cs="Arial"/>
          <w:i/>
          <w:u w:val="single"/>
          <w:lang w:val="sv-SE"/>
        </w:rPr>
      </w:pPr>
    </w:p>
    <w:p w:rsidR="0025624F" w:rsidRPr="0042577F" w:rsidRDefault="0025624F" w:rsidP="0025624F">
      <w:pPr>
        <w:pStyle w:val="Akapitzlist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25624F" w:rsidRPr="0042577F" w:rsidRDefault="0025624F" w:rsidP="0025624F">
      <w:pPr>
        <w:jc w:val="center"/>
        <w:rPr>
          <w:rFonts w:ascii="Arial" w:hAnsi="Arial" w:cs="Arial"/>
          <w:i/>
          <w:highlight w:val="yellow"/>
          <w:u w:val="single"/>
          <w:lang w:val="sv-SE"/>
        </w:rPr>
      </w:pPr>
    </w:p>
    <w:p w:rsidR="0025624F" w:rsidRPr="0042577F" w:rsidRDefault="0025624F" w:rsidP="0025624F">
      <w:pPr>
        <w:rPr>
          <w:rFonts w:ascii="Arial" w:hAnsi="Arial" w:cs="Arial"/>
          <w:b/>
          <w:i/>
          <w:u w:val="single"/>
        </w:rPr>
      </w:pPr>
      <w:r w:rsidRPr="00B8721F">
        <w:rPr>
          <w:rFonts w:ascii="Arial" w:hAnsi="Arial" w:cs="Arial"/>
          <w:b/>
          <w:i/>
          <w:u w:val="single"/>
        </w:rPr>
        <w:t>Prowadzący:</w:t>
      </w:r>
      <w:r w:rsidRPr="0042577F">
        <w:rPr>
          <w:rFonts w:ascii="Arial" w:hAnsi="Arial" w:cs="Arial"/>
          <w:b/>
          <w:i/>
          <w:u w:val="single"/>
        </w:rPr>
        <w:t xml:space="preserve"> </w:t>
      </w:r>
      <w:r w:rsidRPr="0042577F">
        <w:rPr>
          <w:rFonts w:ascii="Arial" w:hAnsi="Arial" w:cs="Arial"/>
        </w:rPr>
        <w:t>dr hab. n. społ. Dariusz Wieczorek &amp;</w:t>
      </w:r>
      <w:r w:rsidRPr="0042577F">
        <w:rPr>
          <w:rFonts w:ascii="Arial" w:hAnsi="Arial" w:cs="Arial"/>
          <w:b/>
        </w:rPr>
        <w:t xml:space="preserve"> </w:t>
      </w:r>
      <w:r w:rsidRPr="0042577F">
        <w:rPr>
          <w:rFonts w:ascii="Arial" w:hAnsi="Arial" w:cs="Arial"/>
        </w:rPr>
        <w:t xml:space="preserve">dr </w:t>
      </w:r>
      <w:r w:rsidR="00CB6D64">
        <w:rPr>
          <w:rFonts w:ascii="Arial" w:hAnsi="Arial" w:cs="Arial"/>
        </w:rPr>
        <w:t>hab. n. zdr</w:t>
      </w:r>
      <w:r w:rsidRPr="0042577F">
        <w:rPr>
          <w:rFonts w:ascii="Arial" w:hAnsi="Arial" w:cs="Arial"/>
        </w:rPr>
        <w:t>. Emilia Sitek</w:t>
      </w:r>
    </w:p>
    <w:p w:rsidR="0025624F" w:rsidRPr="0042577F" w:rsidRDefault="0025624F" w:rsidP="0025624F">
      <w:pPr>
        <w:rPr>
          <w:rFonts w:ascii="Arial" w:hAnsi="Arial" w:cs="Arial"/>
          <w:i/>
          <w:lang w:val="sv-SE"/>
        </w:rPr>
      </w:pPr>
    </w:p>
    <w:p w:rsidR="00A16F52" w:rsidRDefault="0025624F" w:rsidP="0025624F">
      <w:pPr>
        <w:rPr>
          <w:rFonts w:ascii="Arial" w:hAnsi="Arial" w:cs="Arial"/>
          <w:b/>
          <w:i/>
          <w:u w:val="single"/>
        </w:rPr>
      </w:pPr>
      <w:r w:rsidRPr="00B8721F">
        <w:rPr>
          <w:rFonts w:ascii="Arial" w:hAnsi="Arial" w:cs="Arial"/>
          <w:b/>
          <w:i/>
          <w:u w:val="single"/>
        </w:rPr>
        <w:t>Harmonogram zajęć:</w:t>
      </w:r>
      <w:r w:rsidRPr="0042577F">
        <w:rPr>
          <w:rFonts w:ascii="Arial" w:hAnsi="Arial" w:cs="Arial"/>
          <w:b/>
          <w:i/>
          <w:u w:val="single"/>
        </w:rPr>
        <w:t xml:space="preserve"> </w:t>
      </w:r>
      <w:r w:rsidR="00CB6D64">
        <w:rPr>
          <w:rFonts w:ascii="Arial" w:hAnsi="Arial" w:cs="Arial"/>
        </w:rPr>
        <w:t>Szkolenie trwa 22</w:t>
      </w:r>
      <w:r w:rsidRPr="0042577F">
        <w:rPr>
          <w:rFonts w:ascii="Arial" w:hAnsi="Arial" w:cs="Arial"/>
        </w:rPr>
        <w:t xml:space="preserve"> godzin</w:t>
      </w:r>
      <w:r w:rsidR="00743717">
        <w:rPr>
          <w:rFonts w:ascii="Arial" w:hAnsi="Arial" w:cs="Arial"/>
        </w:rPr>
        <w:t>y</w:t>
      </w:r>
      <w:r w:rsidRPr="0042577F">
        <w:rPr>
          <w:rFonts w:ascii="Arial" w:hAnsi="Arial" w:cs="Arial"/>
        </w:rPr>
        <w:t xml:space="preserve"> dydaktyczn</w:t>
      </w:r>
      <w:r w:rsidR="00743717">
        <w:rPr>
          <w:rFonts w:ascii="Arial" w:hAnsi="Arial" w:cs="Arial"/>
        </w:rPr>
        <w:t>e</w:t>
      </w:r>
      <w:r w:rsidRPr="0042577F">
        <w:rPr>
          <w:rFonts w:ascii="Arial" w:hAnsi="Arial" w:cs="Arial"/>
        </w:rPr>
        <w:t xml:space="preserve"> (1 godz. =45 min)</w:t>
      </w:r>
    </w:p>
    <w:p w:rsidR="00A16F52" w:rsidRDefault="0025624F" w:rsidP="00A16F52">
      <w:pPr>
        <w:rPr>
          <w:rFonts w:ascii="Arial" w:hAnsi="Arial" w:cs="Arial"/>
        </w:rPr>
      </w:pPr>
      <w:r w:rsidRPr="0042577F">
        <w:rPr>
          <w:rFonts w:ascii="Arial" w:hAnsi="Arial" w:cs="Arial"/>
        </w:rPr>
        <w:t xml:space="preserve">piątek </w:t>
      </w:r>
      <w:r w:rsidR="00E92F88">
        <w:rPr>
          <w:rFonts w:ascii="Arial" w:hAnsi="Arial" w:cs="Arial"/>
        </w:rPr>
        <w:t>10</w:t>
      </w:r>
      <w:r w:rsidRPr="0042577F">
        <w:rPr>
          <w:rFonts w:ascii="Arial" w:hAnsi="Arial" w:cs="Arial"/>
        </w:rPr>
        <w:t>.0</w:t>
      </w:r>
      <w:r w:rsidR="00E92F88">
        <w:rPr>
          <w:rFonts w:ascii="Arial" w:hAnsi="Arial" w:cs="Arial"/>
        </w:rPr>
        <w:t>2</w:t>
      </w:r>
      <w:r w:rsidRPr="0042577F">
        <w:rPr>
          <w:rFonts w:ascii="Arial" w:hAnsi="Arial" w:cs="Arial"/>
        </w:rPr>
        <w:t>.2016 r. - 16:00-19:00</w:t>
      </w:r>
    </w:p>
    <w:p w:rsidR="0025624F" w:rsidRPr="00A16F52" w:rsidRDefault="0025624F" w:rsidP="00A16F52">
      <w:pPr>
        <w:rPr>
          <w:rFonts w:ascii="Arial" w:hAnsi="Arial" w:cs="Arial"/>
          <w:b/>
          <w:i/>
          <w:u w:val="single"/>
        </w:rPr>
      </w:pPr>
      <w:r w:rsidRPr="0042577F">
        <w:rPr>
          <w:rFonts w:ascii="Arial" w:hAnsi="Arial" w:cs="Arial"/>
        </w:rPr>
        <w:t xml:space="preserve">sobota </w:t>
      </w:r>
      <w:r w:rsidR="00E92F88">
        <w:rPr>
          <w:rFonts w:ascii="Arial" w:hAnsi="Arial" w:cs="Arial"/>
        </w:rPr>
        <w:t>11</w:t>
      </w:r>
      <w:r w:rsidR="00CB6D64">
        <w:rPr>
          <w:rFonts w:ascii="Arial" w:hAnsi="Arial" w:cs="Arial"/>
        </w:rPr>
        <w:t>.0</w:t>
      </w:r>
      <w:r w:rsidR="00E92F88">
        <w:rPr>
          <w:rFonts w:ascii="Arial" w:hAnsi="Arial" w:cs="Arial"/>
        </w:rPr>
        <w:t>2</w:t>
      </w:r>
      <w:r w:rsidR="00CB6D64">
        <w:rPr>
          <w:rFonts w:ascii="Arial" w:hAnsi="Arial" w:cs="Arial"/>
        </w:rPr>
        <w:t xml:space="preserve">.2016 r. – </w:t>
      </w:r>
      <w:r w:rsidR="00743717">
        <w:rPr>
          <w:rFonts w:ascii="Arial" w:hAnsi="Arial" w:cs="Arial"/>
        </w:rPr>
        <w:t>10:30</w:t>
      </w:r>
      <w:r w:rsidRPr="0042577F">
        <w:rPr>
          <w:rFonts w:ascii="Arial" w:hAnsi="Arial" w:cs="Arial"/>
        </w:rPr>
        <w:t>-1</w:t>
      </w:r>
      <w:r w:rsidR="00CB0499">
        <w:rPr>
          <w:rFonts w:ascii="Arial" w:hAnsi="Arial" w:cs="Arial"/>
        </w:rPr>
        <w:t>8</w:t>
      </w:r>
      <w:r w:rsidRPr="0042577F">
        <w:rPr>
          <w:rFonts w:ascii="Arial" w:hAnsi="Arial" w:cs="Arial"/>
        </w:rPr>
        <w:t>:</w:t>
      </w:r>
      <w:r w:rsidR="00CB0499">
        <w:rPr>
          <w:rFonts w:ascii="Arial" w:hAnsi="Arial" w:cs="Arial"/>
        </w:rPr>
        <w:t>0</w:t>
      </w:r>
      <w:r w:rsidRPr="0042577F">
        <w:rPr>
          <w:rFonts w:ascii="Arial" w:hAnsi="Arial" w:cs="Arial"/>
        </w:rPr>
        <w:t>0 (w tym przerwa obiadowa 1,5 godz.)</w:t>
      </w:r>
    </w:p>
    <w:p w:rsidR="0025624F" w:rsidRPr="0042577F" w:rsidRDefault="0025624F" w:rsidP="00A16F52">
      <w:pPr>
        <w:rPr>
          <w:rFonts w:ascii="Arial" w:hAnsi="Arial" w:cs="Arial"/>
        </w:rPr>
      </w:pPr>
      <w:r w:rsidRPr="0042577F">
        <w:rPr>
          <w:rFonts w:ascii="Arial" w:hAnsi="Arial" w:cs="Arial"/>
        </w:rPr>
        <w:t xml:space="preserve">niedziela </w:t>
      </w:r>
      <w:r w:rsidR="00E92F88">
        <w:rPr>
          <w:rFonts w:ascii="Arial" w:hAnsi="Arial" w:cs="Arial"/>
        </w:rPr>
        <w:t>12</w:t>
      </w:r>
      <w:r w:rsidRPr="0042577F">
        <w:rPr>
          <w:rFonts w:ascii="Arial" w:hAnsi="Arial" w:cs="Arial"/>
        </w:rPr>
        <w:t>.0</w:t>
      </w:r>
      <w:r w:rsidR="00E92F88">
        <w:rPr>
          <w:rFonts w:ascii="Arial" w:hAnsi="Arial" w:cs="Arial"/>
        </w:rPr>
        <w:t>2</w:t>
      </w:r>
      <w:r w:rsidRPr="0042577F">
        <w:rPr>
          <w:rFonts w:ascii="Arial" w:hAnsi="Arial" w:cs="Arial"/>
        </w:rPr>
        <w:t xml:space="preserve">.2016 r. </w:t>
      </w:r>
      <w:r w:rsidR="00743717">
        <w:rPr>
          <w:rFonts w:ascii="Arial" w:hAnsi="Arial" w:cs="Arial"/>
        </w:rPr>
        <w:t>–</w:t>
      </w:r>
      <w:r w:rsidRPr="0042577F">
        <w:rPr>
          <w:rFonts w:ascii="Arial" w:hAnsi="Arial" w:cs="Arial"/>
        </w:rPr>
        <w:t xml:space="preserve"> </w:t>
      </w:r>
      <w:r w:rsidR="00743717">
        <w:rPr>
          <w:rFonts w:ascii="Arial" w:hAnsi="Arial" w:cs="Arial"/>
        </w:rPr>
        <w:t>8:30</w:t>
      </w:r>
      <w:r w:rsidRPr="0042577F">
        <w:rPr>
          <w:rFonts w:ascii="Arial" w:hAnsi="Arial" w:cs="Arial"/>
        </w:rPr>
        <w:t xml:space="preserve">- </w:t>
      </w:r>
      <w:r w:rsidR="008A0073">
        <w:rPr>
          <w:rFonts w:ascii="Arial" w:hAnsi="Arial" w:cs="Arial"/>
        </w:rPr>
        <w:t>1</w:t>
      </w:r>
      <w:r w:rsidR="00743717">
        <w:rPr>
          <w:rFonts w:ascii="Arial" w:hAnsi="Arial" w:cs="Arial"/>
        </w:rPr>
        <w:t>7</w:t>
      </w:r>
      <w:r w:rsidRPr="0042577F">
        <w:rPr>
          <w:rFonts w:ascii="Arial" w:hAnsi="Arial" w:cs="Arial"/>
        </w:rPr>
        <w:t>:</w:t>
      </w:r>
      <w:r w:rsidR="00CB0499">
        <w:rPr>
          <w:rFonts w:ascii="Arial" w:hAnsi="Arial" w:cs="Arial"/>
        </w:rPr>
        <w:t>3</w:t>
      </w:r>
      <w:r w:rsidR="00AD25CA" w:rsidRPr="0042577F">
        <w:rPr>
          <w:rFonts w:ascii="Arial" w:hAnsi="Arial" w:cs="Arial"/>
        </w:rPr>
        <w:t>0</w:t>
      </w:r>
      <w:r w:rsidRPr="0042577F">
        <w:rPr>
          <w:rFonts w:ascii="Arial" w:hAnsi="Arial" w:cs="Arial"/>
        </w:rPr>
        <w:t xml:space="preserve"> (w tym przerwa obiadowa 1,5 godz.)</w:t>
      </w:r>
    </w:p>
    <w:p w:rsidR="00601756" w:rsidRDefault="00601756" w:rsidP="00CB6D64">
      <w:pPr>
        <w:rPr>
          <w:rFonts w:ascii="Arial" w:eastAsiaTheme="minorHAnsi" w:hAnsi="Arial" w:cs="Arial"/>
          <w:b/>
          <w:i/>
          <w:sz w:val="26"/>
          <w:szCs w:val="26"/>
          <w:u w:val="single"/>
        </w:rPr>
      </w:pPr>
    </w:p>
    <w:p w:rsidR="00CB6D64" w:rsidRPr="00D11CA4" w:rsidRDefault="00CB6D64" w:rsidP="00CB6D64">
      <w:pPr>
        <w:rPr>
          <w:rFonts w:ascii="Arial" w:eastAsiaTheme="minorHAnsi" w:hAnsi="Arial" w:cs="Arial"/>
          <w:b/>
          <w:i/>
          <w:sz w:val="26"/>
          <w:szCs w:val="26"/>
          <w:u w:val="single"/>
        </w:rPr>
      </w:pPr>
      <w:r w:rsidRPr="00D11CA4">
        <w:rPr>
          <w:rFonts w:ascii="Arial" w:eastAsiaTheme="minorHAnsi" w:hAnsi="Arial" w:cs="Arial"/>
          <w:b/>
          <w:i/>
          <w:sz w:val="26"/>
          <w:szCs w:val="26"/>
          <w:u w:val="single"/>
        </w:rPr>
        <w:t>Zakres tematyczny:</w:t>
      </w:r>
    </w:p>
    <w:p w:rsidR="00CB6D64" w:rsidRPr="00D11CA4" w:rsidRDefault="00CB6D64" w:rsidP="00CB6D64">
      <w:pPr>
        <w:jc w:val="both"/>
        <w:rPr>
          <w:rFonts w:ascii="Arial" w:eastAsiaTheme="minorHAnsi" w:hAnsi="Arial" w:cs="Arial"/>
          <w:sz w:val="26"/>
          <w:szCs w:val="26"/>
        </w:rPr>
      </w:pPr>
      <w:r w:rsidRPr="00D11CA4">
        <w:rPr>
          <w:rFonts w:ascii="Arial" w:eastAsiaTheme="minorHAnsi" w:hAnsi="Arial" w:cs="Arial"/>
          <w:sz w:val="26"/>
          <w:szCs w:val="26"/>
        </w:rPr>
        <w:t xml:space="preserve">Celem szkolenia jest zapoznanie uczestników z podstawami teoretycznymi dotyczącymi mózgowej organizacji czynności motorycznych oraz ich zaburzeniami, w szczególności zaś tymi, które określa się mianem apraksji. Przedstawione zostaną najpopularniejsze oraz najbardziej użyteczne w praktyce klinicznej modele apraksji. Zaprezentowane zostaną również metody diagnostyczne stosowane w badaniach sprawności motorycznej i praksji. </w:t>
      </w:r>
      <w:r>
        <w:rPr>
          <w:rFonts w:ascii="Arial" w:eastAsiaTheme="minorHAnsi" w:hAnsi="Arial" w:cs="Arial"/>
          <w:sz w:val="26"/>
          <w:szCs w:val="26"/>
        </w:rPr>
        <w:t xml:space="preserve">Wykłady będą ilustrowane materiałem filmowym. </w:t>
      </w:r>
    </w:p>
    <w:p w:rsidR="00CB6D64" w:rsidRPr="00D11CA4" w:rsidRDefault="00CB6D64" w:rsidP="00CB6D64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601756" w:rsidRDefault="00601756" w:rsidP="00CB6D64">
      <w:pPr>
        <w:rPr>
          <w:rFonts w:ascii="Arial" w:eastAsiaTheme="minorHAnsi" w:hAnsi="Arial" w:cs="Arial"/>
          <w:b/>
          <w:i/>
          <w:sz w:val="26"/>
          <w:szCs w:val="26"/>
          <w:u w:val="single"/>
        </w:rPr>
      </w:pPr>
    </w:p>
    <w:p w:rsidR="00601756" w:rsidRDefault="00601756" w:rsidP="00CB6D64">
      <w:pPr>
        <w:rPr>
          <w:rFonts w:ascii="Arial" w:eastAsiaTheme="minorHAnsi" w:hAnsi="Arial" w:cs="Arial"/>
          <w:b/>
          <w:i/>
          <w:sz w:val="26"/>
          <w:szCs w:val="26"/>
          <w:u w:val="single"/>
        </w:rPr>
      </w:pPr>
    </w:p>
    <w:p w:rsidR="00CB6D64" w:rsidRPr="00D11CA4" w:rsidRDefault="00CB6D64" w:rsidP="00CB6D64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D11CA4">
        <w:rPr>
          <w:rFonts w:ascii="Arial" w:eastAsiaTheme="minorHAnsi" w:hAnsi="Arial" w:cs="Arial"/>
          <w:b/>
          <w:i/>
          <w:sz w:val="26"/>
          <w:szCs w:val="26"/>
          <w:u w:val="single"/>
        </w:rPr>
        <w:lastRenderedPageBreak/>
        <w:t>Program szkolenia:</w:t>
      </w:r>
    </w:p>
    <w:p w:rsidR="00CB6D64" w:rsidRPr="00743717" w:rsidRDefault="00CB6D64" w:rsidP="00CB6D64">
      <w:pPr>
        <w:numPr>
          <w:ilvl w:val="0"/>
          <w:numId w:val="9"/>
        </w:numPr>
        <w:shd w:val="clear" w:color="auto" w:fill="E2EFD9" w:themeFill="accent6" w:themeFillTint="33"/>
        <w:spacing w:before="120" w:after="240" w:line="240" w:lineRule="auto"/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>Mózgowa organizacja czynności motorycznych – wprowadzenie</w:t>
      </w:r>
    </w:p>
    <w:p w:rsidR="00CB6D64" w:rsidRPr="00D11CA4" w:rsidRDefault="00601756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- </w:t>
      </w:r>
      <w:r w:rsidR="00CB6D64"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rola kory obszarów korowych w planowaniu i organizacji ruchu </w:t>
      </w:r>
    </w:p>
    <w:p w:rsidR="00CB6D64" w:rsidRPr="00D11CA4" w:rsidRDefault="00601756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- </w:t>
      </w:r>
      <w:r w:rsidR="00CB6D64"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rola zwojów podstawy w planowaniu i organizacji ruchu</w:t>
      </w:r>
    </w:p>
    <w:p w:rsidR="00CB6D64" w:rsidRDefault="00601756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- </w:t>
      </w:r>
      <w:r w:rsidR="00CB6D64"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rola móżdżku w planowaniu i organizacji ruchu</w:t>
      </w:r>
    </w:p>
    <w:p w:rsidR="00601756" w:rsidRPr="00D11CA4" w:rsidRDefault="00601756" w:rsidP="00601756">
      <w:pPr>
        <w:shd w:val="clear" w:color="auto" w:fill="E2EFD9" w:themeFill="accent6" w:themeFillTint="33"/>
        <w:spacing w:after="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</w:p>
    <w:p w:rsidR="00CB6D64" w:rsidRPr="00743717" w:rsidRDefault="00CB6D64" w:rsidP="00CB6D64">
      <w:pPr>
        <w:numPr>
          <w:ilvl w:val="0"/>
          <w:numId w:val="9"/>
        </w:numPr>
        <w:shd w:val="clear" w:color="auto" w:fill="E2EFD9" w:themeFill="accent6" w:themeFillTint="33"/>
        <w:spacing w:before="120" w:after="240" w:line="240" w:lineRule="auto"/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>Różnicowanie apraksji od innych zaburzeń ruchowych w neurologii</w:t>
      </w:r>
    </w:p>
    <w:p w:rsidR="00CB6D64" w:rsidRPr="00743717" w:rsidRDefault="00CB6D64" w:rsidP="00CB6D64">
      <w:pPr>
        <w:numPr>
          <w:ilvl w:val="0"/>
          <w:numId w:val="9"/>
        </w:numPr>
        <w:shd w:val="clear" w:color="auto" w:fill="E2EFD9" w:themeFill="accent6" w:themeFillTint="33"/>
        <w:spacing w:before="120" w:after="240" w:line="240" w:lineRule="auto"/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 xml:space="preserve">Spektrum zaburzeń intencji ruchu </w:t>
      </w:r>
    </w:p>
    <w:p w:rsidR="00CB6D64" w:rsidRPr="00D11CA4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akinezja i hipokinezja</w:t>
      </w:r>
    </w:p>
    <w:p w:rsidR="00CB6D64" w:rsidRPr="00D11CA4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hipometria</w:t>
      </w:r>
    </w:p>
    <w:p w:rsidR="00CB6D64" w:rsidRPr="00D11CA4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wygaszanie ruchowe</w:t>
      </w:r>
    </w:p>
    <w:p w:rsidR="00CB6D64" w:rsidRPr="00D11CA4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nietrzymanie ruchowe</w:t>
      </w:r>
    </w:p>
    <w:p w:rsidR="00CB6D64" w:rsidRPr="00D11CA4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zaburzenia hamowania reakcji</w:t>
      </w:r>
    </w:p>
    <w:p w:rsidR="00CB6D64" w:rsidRPr="00D11CA4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perseweracje ruchowe</w:t>
      </w:r>
    </w:p>
    <w:p w:rsidR="00CB6D64" w:rsidRPr="00743717" w:rsidRDefault="00CB6D64" w:rsidP="00CB6D64">
      <w:pPr>
        <w:numPr>
          <w:ilvl w:val="0"/>
          <w:numId w:val="9"/>
        </w:numPr>
        <w:shd w:val="clear" w:color="auto" w:fill="E2EFD9" w:themeFill="accent6" w:themeFillTint="33"/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>Klasyfikacje zaburzeń praksji</w:t>
      </w:r>
    </w:p>
    <w:p w:rsidR="00CB6D64" w:rsidRPr="00D11CA4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klasyczna klasyfikacja apraksji wg Liepmanna</w:t>
      </w:r>
    </w:p>
    <w:p w:rsidR="00CB6D64" w:rsidRPr="00D11CA4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D11CA4">
        <w:rPr>
          <w:rFonts w:ascii="Arial" w:hAnsi="Arial" w:cs="Arial"/>
          <w:bCs/>
          <w:sz w:val="26"/>
          <w:szCs w:val="26"/>
        </w:rPr>
        <w:t>klasyfikacja apraksji wg A.R. Łurii</w:t>
      </w:r>
    </w:p>
    <w:p w:rsidR="00CB6D64" w:rsidRPr="00D11CA4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hAnsi="Arial" w:cs="Arial"/>
          <w:bCs/>
          <w:sz w:val="26"/>
          <w:szCs w:val="26"/>
        </w:rPr>
        <w:t>- klasyfikacja apraksji wg Heilmana i Rothi</w:t>
      </w:r>
    </w:p>
    <w:p w:rsidR="00CB6D64" w:rsidRPr="00D11CA4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hAnsi="Arial" w:cs="Arial"/>
          <w:bCs/>
          <w:sz w:val="26"/>
          <w:szCs w:val="26"/>
        </w:rPr>
      </w:pPr>
      <w:r w:rsidRPr="00D11CA4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D11CA4">
        <w:rPr>
          <w:rFonts w:ascii="Arial" w:hAnsi="Arial" w:cs="Arial"/>
          <w:bCs/>
          <w:sz w:val="26"/>
          <w:szCs w:val="26"/>
        </w:rPr>
        <w:t xml:space="preserve">inne podejścia do </w:t>
      </w:r>
      <w:r>
        <w:rPr>
          <w:rFonts w:ascii="Arial" w:hAnsi="Arial" w:cs="Arial"/>
          <w:bCs/>
          <w:sz w:val="26"/>
          <w:szCs w:val="26"/>
        </w:rPr>
        <w:t xml:space="preserve">klasyfikacji </w:t>
      </w:r>
      <w:r w:rsidRPr="00D11CA4">
        <w:rPr>
          <w:rFonts w:ascii="Arial" w:hAnsi="Arial" w:cs="Arial"/>
          <w:bCs/>
          <w:sz w:val="26"/>
          <w:szCs w:val="26"/>
        </w:rPr>
        <w:t>zaburzeń praksji</w:t>
      </w:r>
    </w:p>
    <w:p w:rsidR="00CB6D64" w:rsidRPr="00601756" w:rsidRDefault="00CB6D64" w:rsidP="00601756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color w:val="0070C0"/>
          <w:sz w:val="26"/>
          <w:szCs w:val="26"/>
          <w:lang w:eastAsia="pl-PL"/>
        </w:rPr>
      </w:pPr>
      <w:r w:rsidRPr="00D11CA4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D11CA4">
        <w:rPr>
          <w:rFonts w:ascii="Arial" w:hAnsi="Arial" w:cs="Arial"/>
          <w:bCs/>
          <w:sz w:val="26"/>
          <w:szCs w:val="26"/>
        </w:rPr>
        <w:t>kontrowersyjne typy apraksji</w:t>
      </w:r>
    </w:p>
    <w:p w:rsidR="00CB6D64" w:rsidRPr="00743717" w:rsidRDefault="00CB6D64" w:rsidP="00CB6D64">
      <w:pPr>
        <w:numPr>
          <w:ilvl w:val="0"/>
          <w:numId w:val="9"/>
        </w:numPr>
        <w:shd w:val="clear" w:color="auto" w:fill="E2EFD9" w:themeFill="accent6" w:themeFillTint="33"/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>Dysocjacje obserwowane w diagnostyce różnicowej apraksji</w:t>
      </w:r>
    </w:p>
    <w:p w:rsidR="00CB6D64" w:rsidRPr="00D11CA4" w:rsidRDefault="00CB6D64" w:rsidP="0068312F">
      <w:pPr>
        <w:shd w:val="clear" w:color="auto" w:fill="E2EFD9" w:themeFill="accent6" w:themeFillTint="33"/>
        <w:spacing w:after="120" w:line="240" w:lineRule="auto"/>
        <w:ind w:left="567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czynności symboliczne vs. czynności konkretne</w:t>
      </w:r>
    </w:p>
    <w:p w:rsidR="00CB6D64" w:rsidRPr="00D11CA4" w:rsidRDefault="00CB6D64" w:rsidP="0068312F">
      <w:pPr>
        <w:shd w:val="clear" w:color="auto" w:fill="E2EFD9" w:themeFill="accent6" w:themeFillTint="33"/>
        <w:spacing w:after="120" w:line="240" w:lineRule="auto"/>
        <w:ind w:left="567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sekwencja motoryczna vs. pojedynczy akt ruchowy</w:t>
      </w:r>
    </w:p>
    <w:p w:rsidR="00CB6D64" w:rsidRPr="00D11CA4" w:rsidRDefault="00CB6D64" w:rsidP="0068312F">
      <w:pPr>
        <w:shd w:val="clear" w:color="auto" w:fill="E2EFD9" w:themeFill="accent6" w:themeFillTint="33"/>
        <w:spacing w:after="120" w:line="240" w:lineRule="auto"/>
        <w:ind w:left="567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demonstracja vs. polecenie werbalne</w:t>
      </w:r>
    </w:p>
    <w:p w:rsidR="00CB6D64" w:rsidRPr="00A97C85" w:rsidRDefault="00CB6D64" w:rsidP="0068312F">
      <w:pPr>
        <w:shd w:val="clear" w:color="auto" w:fill="E2EFD9" w:themeFill="accent6" w:themeFillTint="33"/>
        <w:spacing w:after="120" w:line="240" w:lineRule="auto"/>
        <w:ind w:left="567"/>
        <w:rPr>
          <w:rFonts w:ascii="Arial" w:eastAsia="Times New Roman" w:hAnsi="Arial" w:cs="Arial"/>
          <w:bCs/>
          <w:color w:val="0070C0"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użycie rzeczywistych obiektów vs. użycie pozorowanych obiektów</w:t>
      </w:r>
    </w:p>
    <w:p w:rsidR="00CB6D64" w:rsidRPr="00743717" w:rsidRDefault="00CB6D64" w:rsidP="00CB6D64">
      <w:pPr>
        <w:numPr>
          <w:ilvl w:val="0"/>
          <w:numId w:val="9"/>
        </w:numPr>
        <w:shd w:val="clear" w:color="auto" w:fill="E2EFD9" w:themeFill="accent6" w:themeFillTint="33"/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>Metody oceny tempa pracy motorycznej i sprawności rąk</w:t>
      </w:r>
    </w:p>
    <w:p w:rsidR="00CB6D64" w:rsidRPr="00D11CA4" w:rsidRDefault="00CB6D64" w:rsidP="00A97C85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ocena ręczności (wywiad, ocena kwestionariuszowa, ocena testowa)</w:t>
      </w:r>
    </w:p>
    <w:p w:rsidR="00CB6D64" w:rsidRPr="00D11CA4" w:rsidRDefault="00CB6D64" w:rsidP="00A97C85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val="en-US"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val="en-US"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testy tappingu</w:t>
      </w:r>
    </w:p>
    <w:p w:rsidR="0068312F" w:rsidRDefault="00CB6D64" w:rsidP="0068312F">
      <w:pPr>
        <w:shd w:val="clear" w:color="auto" w:fill="E2EFD9" w:themeFill="accent6" w:themeFillTint="33"/>
        <w:spacing w:after="0" w:line="240" w:lineRule="auto"/>
        <w:ind w:left="505"/>
        <w:contextualSpacing/>
        <w:rPr>
          <w:rFonts w:ascii="Arial" w:eastAsia="Times New Roman" w:hAnsi="Arial" w:cs="Arial"/>
          <w:bCs/>
          <w:sz w:val="26"/>
          <w:szCs w:val="26"/>
          <w:lang w:val="en-US"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val="en-US"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testy typu „pegboard” (9 Hole Peg Test, Grooved Pegboard, Purdue</w:t>
      </w:r>
    </w:p>
    <w:p w:rsidR="00CB6D64" w:rsidRPr="00A97C85" w:rsidRDefault="0068312F" w:rsidP="0068312F">
      <w:pPr>
        <w:shd w:val="clear" w:color="auto" w:fill="E2EFD9" w:themeFill="accent6" w:themeFillTint="33"/>
        <w:spacing w:after="0" w:line="240" w:lineRule="auto"/>
        <w:ind w:left="505"/>
        <w:contextualSpacing/>
        <w:rPr>
          <w:rFonts w:ascii="Arial" w:eastAsia="Times New Roman" w:hAnsi="Arial" w:cs="Arial"/>
          <w:bCs/>
          <w:color w:val="0070C0"/>
          <w:sz w:val="26"/>
          <w:szCs w:val="26"/>
          <w:lang w:val="en-US" w:eastAsia="pl-PL"/>
        </w:rPr>
      </w:pPr>
      <w:r>
        <w:rPr>
          <w:rFonts w:ascii="Arial" w:eastAsia="Times New Roman" w:hAnsi="Arial" w:cs="Arial"/>
          <w:bCs/>
          <w:sz w:val="26"/>
          <w:szCs w:val="26"/>
          <w:lang w:val="en-US" w:eastAsia="pl-PL"/>
        </w:rPr>
        <w:t xml:space="preserve">  </w:t>
      </w:r>
      <w:r w:rsidR="00CB6D64"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Pegboard)</w:t>
      </w:r>
    </w:p>
    <w:p w:rsidR="00CB6D64" w:rsidRPr="00743717" w:rsidRDefault="00CB6D64" w:rsidP="00CB6D64">
      <w:pPr>
        <w:numPr>
          <w:ilvl w:val="0"/>
          <w:numId w:val="9"/>
        </w:numPr>
        <w:shd w:val="clear" w:color="auto" w:fill="E2EFD9" w:themeFill="accent6" w:themeFillTint="33"/>
        <w:spacing w:before="100" w:beforeAutospacing="1" w:after="240" w:line="240" w:lineRule="auto"/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lastRenderedPageBreak/>
        <w:t>Wybrane testy stosowane w diagnostyce zaburzeń praksji, m.in.:</w:t>
      </w:r>
    </w:p>
    <w:p w:rsidR="00CB6D64" w:rsidRPr="00D11CA4" w:rsidRDefault="00CB6D64" w:rsidP="00A97C85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val="en-US"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val="en-US"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Test apraksji autorstwa van Heugten</w:t>
      </w:r>
    </w:p>
    <w:p w:rsidR="00CB6D64" w:rsidRPr="00D11CA4" w:rsidRDefault="00CB6D64" w:rsidP="00A97C85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val="en-US"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val="en-US"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Florida Apraxia Screen i FABERS</w:t>
      </w:r>
    </w:p>
    <w:p w:rsidR="00CB6D64" w:rsidRPr="00D11CA4" w:rsidRDefault="00CB6D64" w:rsidP="00A97C85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val="en-US"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val="en-US"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Test of Upper Limb Apraxia (TULIA) i AST</w:t>
      </w:r>
    </w:p>
    <w:p w:rsidR="00CB6D64" w:rsidRPr="00D11CA4" w:rsidRDefault="00CB6D64" w:rsidP="00A97C85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val="en-US"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val="en-US" w:eastAsia="pl-PL"/>
        </w:rPr>
        <w:t xml:space="preserve"> </w:t>
      </w: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Cologne Apraxia Screening (CAS)</w:t>
      </w:r>
    </w:p>
    <w:p w:rsidR="00CB6D64" w:rsidRPr="00D11CA4" w:rsidRDefault="00CB6D64" w:rsidP="00A97C85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val="en-US"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val="en-US" w:eastAsia="pl-PL"/>
        </w:rPr>
        <w:t xml:space="preserve"> o</w:t>
      </w:r>
      <w:r w:rsidRPr="00D11CA4">
        <w:rPr>
          <w:rFonts w:ascii="Arial" w:eastAsia="Times New Roman" w:hAnsi="Arial" w:cs="Arial"/>
          <w:bCs/>
          <w:sz w:val="26"/>
          <w:szCs w:val="26"/>
          <w:lang w:val="en-US" w:eastAsia="pl-PL"/>
        </w:rPr>
        <w:t>cena praksji w Birmingham Cognitive Screen i Oxford Cognitive Screen</w:t>
      </w:r>
    </w:p>
    <w:p w:rsidR="00CB6D64" w:rsidRPr="002A3E01" w:rsidRDefault="00CB6D64" w:rsidP="00A97C85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val="en-US" w:eastAsia="pl-PL"/>
        </w:rPr>
      </w:pPr>
      <w:r w:rsidRPr="002A3E01">
        <w:rPr>
          <w:rFonts w:ascii="Arial" w:eastAsia="Times New Roman" w:hAnsi="Arial" w:cs="Arial"/>
          <w:bCs/>
          <w:sz w:val="26"/>
          <w:szCs w:val="26"/>
          <w:lang w:val="en-US" w:eastAsia="pl-PL"/>
        </w:rPr>
        <w:t>- Interlocking fingers Test</w:t>
      </w:r>
    </w:p>
    <w:p w:rsidR="00CB6D64" w:rsidRPr="00024638" w:rsidRDefault="00CB6D64" w:rsidP="00A97C85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val="en-US" w:eastAsia="pl-PL"/>
        </w:rPr>
      </w:pPr>
      <w:r w:rsidRPr="00024638">
        <w:rPr>
          <w:rFonts w:ascii="Arial" w:eastAsia="Times New Roman" w:hAnsi="Arial" w:cs="Arial"/>
          <w:bCs/>
          <w:sz w:val="26"/>
          <w:szCs w:val="26"/>
          <w:lang w:val="en-US"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val="en-US" w:eastAsia="pl-PL"/>
        </w:rPr>
        <w:t xml:space="preserve"> </w:t>
      </w:r>
      <w:r w:rsidRPr="00024638">
        <w:rPr>
          <w:rFonts w:ascii="Arial" w:eastAsia="Times New Roman" w:hAnsi="Arial" w:cs="Arial"/>
          <w:bCs/>
          <w:sz w:val="26"/>
          <w:szCs w:val="26"/>
          <w:lang w:val="en-US" w:eastAsia="pl-PL"/>
        </w:rPr>
        <w:t>Pantomime Recognition Test</w:t>
      </w:r>
    </w:p>
    <w:p w:rsidR="00CB6D64" w:rsidRPr="002A3E01" w:rsidRDefault="00CB6D64" w:rsidP="00A97C85">
      <w:pPr>
        <w:shd w:val="clear" w:color="auto" w:fill="E2EFD9" w:themeFill="accent6" w:themeFillTint="33"/>
        <w:spacing w:after="120" w:line="240" w:lineRule="auto"/>
        <w:ind w:left="505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2A3E01">
        <w:rPr>
          <w:rFonts w:ascii="Arial" w:eastAsia="Times New Roman" w:hAnsi="Arial" w:cs="Arial"/>
          <w:bCs/>
          <w:sz w:val="26"/>
          <w:szCs w:val="26"/>
          <w:lang w:eastAsia="pl-PL"/>
        </w:rPr>
        <w:t>- Dementia Apraxia Test</w:t>
      </w:r>
    </w:p>
    <w:p w:rsidR="00A97C85" w:rsidRPr="00743717" w:rsidRDefault="00CB6D64" w:rsidP="00A97C85">
      <w:pPr>
        <w:shd w:val="clear" w:color="auto" w:fill="E2EFD9" w:themeFill="accent6" w:themeFillTint="33"/>
        <w:tabs>
          <w:tab w:val="num" w:pos="851"/>
        </w:tabs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>8. Ocena praksji w diagnostyce różnicowej chorób</w:t>
      </w:r>
    </w:p>
    <w:p w:rsidR="00A97C85" w:rsidRPr="00743717" w:rsidRDefault="00A97C85" w:rsidP="00A97C85">
      <w:pPr>
        <w:shd w:val="clear" w:color="auto" w:fill="E2EFD9" w:themeFill="accent6" w:themeFillTint="33"/>
        <w:tabs>
          <w:tab w:val="num" w:pos="851"/>
        </w:tabs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 xml:space="preserve">    </w:t>
      </w:r>
      <w:r w:rsidR="00743717"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>n</w:t>
      </w:r>
      <w:r w:rsidR="00CB6D64"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>eurozwyrodnieniowych</w:t>
      </w:r>
    </w:p>
    <w:p w:rsidR="00A97C85" w:rsidRPr="00D11CA4" w:rsidRDefault="00A97C85" w:rsidP="00A97C85">
      <w:pPr>
        <w:shd w:val="clear" w:color="auto" w:fill="E2EFD9" w:themeFill="accent6" w:themeFillTint="33"/>
        <w:tabs>
          <w:tab w:val="num" w:pos="851"/>
        </w:tabs>
        <w:spacing w:after="0" w:line="240" w:lineRule="auto"/>
        <w:contextualSpacing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CB6D64" w:rsidRDefault="00CB6D64" w:rsidP="0068312F">
      <w:pPr>
        <w:shd w:val="clear" w:color="auto" w:fill="E2EFD9" w:themeFill="accent6" w:themeFillTint="33"/>
        <w:tabs>
          <w:tab w:val="num" w:pos="851"/>
        </w:tabs>
        <w:spacing w:after="120" w:line="240" w:lineRule="auto"/>
        <w:ind w:left="567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specyfika oceny praksji w diagnozie różnicowej</w:t>
      </w:r>
      <w:r w:rsidR="00743717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chorób otępiennych</w:t>
      </w:r>
    </w:p>
    <w:p w:rsidR="0068312F" w:rsidRDefault="00CB6D64" w:rsidP="0068312F">
      <w:pPr>
        <w:shd w:val="clear" w:color="auto" w:fill="E2EFD9" w:themeFill="accent6" w:themeFillTint="33"/>
        <w:tabs>
          <w:tab w:val="num" w:pos="851"/>
        </w:tabs>
        <w:spacing w:after="0" w:line="240" w:lineRule="auto"/>
        <w:ind w:left="567"/>
        <w:rPr>
          <w:rFonts w:ascii="Arial" w:eastAsia="Times New Roman" w:hAnsi="Arial" w:cs="Arial"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- </w:t>
      </w:r>
      <w:r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próby praksji użyteczne w diagnostyce zwyrodnienia </w:t>
      </w:r>
    </w:p>
    <w:p w:rsidR="00CB6D64" w:rsidRDefault="0068312F" w:rsidP="0068312F">
      <w:pPr>
        <w:shd w:val="clear" w:color="auto" w:fill="E2EFD9" w:themeFill="accent6" w:themeFillTint="33"/>
        <w:tabs>
          <w:tab w:val="num" w:pos="851"/>
        </w:tabs>
        <w:spacing w:after="0" w:line="240" w:lineRule="auto"/>
        <w:ind w:left="567"/>
        <w:rPr>
          <w:rFonts w:ascii="Arial" w:eastAsia="Times New Roman" w:hAnsi="Arial" w:cs="Arial"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 </w:t>
      </w:r>
      <w:r w:rsidR="00CB6D64" w:rsidRPr="00D11CA4">
        <w:rPr>
          <w:rFonts w:ascii="Arial" w:eastAsia="Times New Roman" w:hAnsi="Arial" w:cs="Arial"/>
          <w:bCs/>
          <w:sz w:val="26"/>
          <w:szCs w:val="26"/>
          <w:lang w:eastAsia="pl-PL"/>
        </w:rPr>
        <w:t>korowo-podstawnego i choroby Alzheimera</w:t>
      </w:r>
    </w:p>
    <w:p w:rsidR="00A97C85" w:rsidRPr="00D11CA4" w:rsidRDefault="00A97C85" w:rsidP="00A97C85">
      <w:pPr>
        <w:shd w:val="clear" w:color="auto" w:fill="E2EFD9" w:themeFill="accent6" w:themeFillTint="33"/>
        <w:tabs>
          <w:tab w:val="num" w:pos="851"/>
        </w:tabs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</w:p>
    <w:p w:rsidR="00A97C85" w:rsidRPr="00743717" w:rsidRDefault="00CB6D64" w:rsidP="00A97C85">
      <w:pPr>
        <w:pStyle w:val="Akapitzlist"/>
        <w:numPr>
          <w:ilvl w:val="0"/>
          <w:numId w:val="10"/>
        </w:numPr>
        <w:shd w:val="clear" w:color="auto" w:fill="E2EFD9" w:themeFill="accent6" w:themeFillTint="33"/>
        <w:tabs>
          <w:tab w:val="num" w:pos="851"/>
        </w:tabs>
        <w:spacing w:after="0" w:line="240" w:lineRule="auto"/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 xml:space="preserve">Interwencje terapeutyczne w zaburzeniach praksji – możliwości </w:t>
      </w:r>
    </w:p>
    <w:p w:rsidR="00CB6D64" w:rsidRPr="00743717" w:rsidRDefault="00CB6D64" w:rsidP="00A97C85">
      <w:pPr>
        <w:pStyle w:val="Akapitzlist"/>
        <w:shd w:val="clear" w:color="auto" w:fill="E2EFD9" w:themeFill="accent6" w:themeFillTint="33"/>
        <w:tabs>
          <w:tab w:val="num" w:pos="851"/>
        </w:tabs>
        <w:spacing w:after="0" w:line="240" w:lineRule="auto"/>
        <w:ind w:left="502"/>
        <w:rPr>
          <w:rFonts w:ascii="Arial" w:hAnsi="Arial" w:cs="Arial"/>
          <w:color w:val="002060"/>
          <w:sz w:val="26"/>
          <w:szCs w:val="26"/>
        </w:rPr>
      </w:pPr>
      <w:r w:rsidRPr="00743717">
        <w:rPr>
          <w:rFonts w:ascii="Arial" w:eastAsia="Times New Roman" w:hAnsi="Arial" w:cs="Arial"/>
          <w:b/>
          <w:color w:val="002060"/>
          <w:sz w:val="26"/>
          <w:szCs w:val="26"/>
          <w:lang w:eastAsia="pl-PL"/>
        </w:rPr>
        <w:t>i ograniczenia</w:t>
      </w:r>
    </w:p>
    <w:p w:rsidR="00A97C85" w:rsidRDefault="00A97C85" w:rsidP="00CB6D64">
      <w:pPr>
        <w:rPr>
          <w:rFonts w:ascii="Arial" w:hAnsi="Arial" w:cs="Arial"/>
          <w:sz w:val="26"/>
          <w:szCs w:val="26"/>
        </w:rPr>
      </w:pPr>
    </w:p>
    <w:p w:rsidR="00CB6D64" w:rsidRPr="00D11CA4" w:rsidRDefault="00CB6D64" w:rsidP="00CB6D64">
      <w:pPr>
        <w:rPr>
          <w:rFonts w:ascii="Arial" w:hAnsi="Arial" w:cs="Arial"/>
          <w:sz w:val="26"/>
          <w:szCs w:val="26"/>
        </w:rPr>
      </w:pPr>
      <w:r w:rsidRPr="00D11CA4">
        <w:rPr>
          <w:rFonts w:ascii="Arial" w:hAnsi="Arial" w:cs="Arial"/>
          <w:sz w:val="26"/>
          <w:szCs w:val="26"/>
        </w:rPr>
        <w:t>UWAGA: w ramach kursu nie będą szczegółowo omawiane zaburzenia praksji oralnej i praksji mowy</w:t>
      </w:r>
    </w:p>
    <w:p w:rsidR="0025624F" w:rsidRPr="0042577F" w:rsidRDefault="0025624F" w:rsidP="0025624F">
      <w:pPr>
        <w:rPr>
          <w:rFonts w:ascii="Arial" w:hAnsi="Arial" w:cs="Arial"/>
        </w:rPr>
      </w:pPr>
    </w:p>
    <w:p w:rsidR="00A97C85" w:rsidRDefault="00E51610" w:rsidP="00A97C85">
      <w:pPr>
        <w:rPr>
          <w:rFonts w:ascii="Arial" w:hAnsi="Arial" w:cs="Arial"/>
          <w:sz w:val="26"/>
          <w:szCs w:val="26"/>
        </w:rPr>
      </w:pPr>
      <w:r w:rsidRPr="00755FD8">
        <w:rPr>
          <w:rFonts w:ascii="Arial" w:hAnsi="Arial" w:cs="Arial"/>
          <w:sz w:val="26"/>
          <w:szCs w:val="26"/>
        </w:rPr>
        <w:t>Koszt szkolenia:</w:t>
      </w:r>
      <w:r w:rsidR="00CF28F6" w:rsidRPr="00755FD8">
        <w:rPr>
          <w:rFonts w:ascii="Arial" w:hAnsi="Arial" w:cs="Arial"/>
          <w:sz w:val="26"/>
          <w:szCs w:val="26"/>
        </w:rPr>
        <w:t xml:space="preserve"> 4</w:t>
      </w:r>
      <w:r w:rsidR="00921E0E">
        <w:rPr>
          <w:rFonts w:ascii="Arial" w:hAnsi="Arial" w:cs="Arial"/>
          <w:sz w:val="26"/>
          <w:szCs w:val="26"/>
        </w:rPr>
        <w:t>1</w:t>
      </w:r>
      <w:r w:rsidR="00CF28F6" w:rsidRPr="00755FD8">
        <w:rPr>
          <w:rFonts w:ascii="Arial" w:hAnsi="Arial" w:cs="Arial"/>
          <w:sz w:val="26"/>
          <w:szCs w:val="26"/>
        </w:rPr>
        <w:t>0,00 zł</w:t>
      </w:r>
    </w:p>
    <w:p w:rsidR="00A97C85" w:rsidRDefault="00A97C85" w:rsidP="00A97C85">
      <w:pPr>
        <w:rPr>
          <w:rFonts w:ascii="Arial" w:hAnsi="Arial" w:cs="Arial"/>
          <w:sz w:val="26"/>
          <w:szCs w:val="26"/>
        </w:rPr>
      </w:pPr>
    </w:p>
    <w:p w:rsidR="00A97C85" w:rsidRDefault="00A97C85" w:rsidP="00A97C85">
      <w:pPr>
        <w:rPr>
          <w:rFonts w:ascii="Arial" w:hAnsi="Arial" w:cs="Arial"/>
          <w:sz w:val="26"/>
          <w:szCs w:val="26"/>
        </w:rPr>
      </w:pPr>
    </w:p>
    <w:p w:rsidR="00A97C85" w:rsidRDefault="00A97C85" w:rsidP="00A97C85">
      <w:pPr>
        <w:rPr>
          <w:rFonts w:ascii="Arial" w:hAnsi="Arial" w:cs="Arial"/>
          <w:sz w:val="26"/>
          <w:szCs w:val="26"/>
        </w:rPr>
      </w:pPr>
    </w:p>
    <w:p w:rsidR="00A97C85" w:rsidRDefault="00A97C85" w:rsidP="00A97C85">
      <w:pPr>
        <w:rPr>
          <w:rFonts w:ascii="Arial" w:hAnsi="Arial" w:cs="Arial"/>
          <w:sz w:val="26"/>
          <w:szCs w:val="26"/>
        </w:rPr>
      </w:pPr>
    </w:p>
    <w:p w:rsidR="00A97C85" w:rsidRDefault="00A97C85" w:rsidP="00A97C85">
      <w:pPr>
        <w:rPr>
          <w:rFonts w:ascii="Arial" w:hAnsi="Arial" w:cs="Arial"/>
          <w:sz w:val="26"/>
          <w:szCs w:val="26"/>
        </w:rPr>
      </w:pPr>
    </w:p>
    <w:p w:rsidR="00A97C85" w:rsidRDefault="00A97C85" w:rsidP="00A97C85">
      <w:pPr>
        <w:rPr>
          <w:rFonts w:ascii="Arial" w:hAnsi="Arial" w:cs="Arial"/>
          <w:sz w:val="26"/>
          <w:szCs w:val="26"/>
        </w:rPr>
      </w:pPr>
    </w:p>
    <w:p w:rsidR="00A97C85" w:rsidRDefault="00A97C85" w:rsidP="00A97C85">
      <w:pPr>
        <w:rPr>
          <w:rFonts w:ascii="Arial" w:hAnsi="Arial" w:cs="Arial"/>
          <w:sz w:val="26"/>
          <w:szCs w:val="26"/>
        </w:rPr>
      </w:pPr>
    </w:p>
    <w:p w:rsidR="00A97C85" w:rsidRDefault="00A97C85" w:rsidP="00A97C85">
      <w:pPr>
        <w:rPr>
          <w:rFonts w:ascii="Arial" w:hAnsi="Arial" w:cs="Arial"/>
          <w:sz w:val="26"/>
          <w:szCs w:val="26"/>
        </w:rPr>
      </w:pPr>
    </w:p>
    <w:p w:rsidR="00A97C85" w:rsidRDefault="00A97C85" w:rsidP="00A97C85">
      <w:pPr>
        <w:rPr>
          <w:rFonts w:ascii="Arial" w:hAnsi="Arial" w:cs="Arial"/>
          <w:sz w:val="26"/>
          <w:szCs w:val="26"/>
        </w:rPr>
      </w:pPr>
    </w:p>
    <w:p w:rsidR="00743717" w:rsidRDefault="00743717" w:rsidP="00A97C85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743717" w:rsidSect="00B87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AD" w:rsidRDefault="002B23AD" w:rsidP="00B8721F">
      <w:pPr>
        <w:spacing w:after="0" w:line="240" w:lineRule="auto"/>
      </w:pPr>
      <w:r>
        <w:separator/>
      </w:r>
    </w:p>
  </w:endnote>
  <w:end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AD" w:rsidRDefault="002B23AD" w:rsidP="00B8721F">
      <w:pPr>
        <w:spacing w:after="0" w:line="240" w:lineRule="auto"/>
      </w:pPr>
      <w:r>
        <w:separator/>
      </w:r>
    </w:p>
  </w:footnote>
  <w:foot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B0535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2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B0535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3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B0535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1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351"/>
    <w:multiLevelType w:val="hybridMultilevel"/>
    <w:tmpl w:val="CA30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0ACD"/>
    <w:multiLevelType w:val="hybridMultilevel"/>
    <w:tmpl w:val="514E9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0A55"/>
    <w:multiLevelType w:val="multilevel"/>
    <w:tmpl w:val="466ABB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pacing w:val="-2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7E04"/>
    <w:multiLevelType w:val="hybridMultilevel"/>
    <w:tmpl w:val="E50CB424"/>
    <w:lvl w:ilvl="0" w:tplc="3E605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A0F41"/>
    <w:multiLevelType w:val="hybridMultilevel"/>
    <w:tmpl w:val="83C83862"/>
    <w:lvl w:ilvl="0" w:tplc="A6FC97A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052172"/>
    <w:multiLevelType w:val="hybridMultilevel"/>
    <w:tmpl w:val="514AE9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F37BF6"/>
    <w:multiLevelType w:val="hybridMultilevel"/>
    <w:tmpl w:val="D016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D"/>
    <w:rsid w:val="00063CC5"/>
    <w:rsid w:val="000F5899"/>
    <w:rsid w:val="0025624F"/>
    <w:rsid w:val="002B23AD"/>
    <w:rsid w:val="00362BEB"/>
    <w:rsid w:val="0042577F"/>
    <w:rsid w:val="004449A6"/>
    <w:rsid w:val="004F7C9E"/>
    <w:rsid w:val="00601756"/>
    <w:rsid w:val="00646060"/>
    <w:rsid w:val="0068312F"/>
    <w:rsid w:val="00743717"/>
    <w:rsid w:val="00755FD8"/>
    <w:rsid w:val="00765F1B"/>
    <w:rsid w:val="00801759"/>
    <w:rsid w:val="008A0073"/>
    <w:rsid w:val="00921E0E"/>
    <w:rsid w:val="009730C1"/>
    <w:rsid w:val="009C3872"/>
    <w:rsid w:val="00A16F52"/>
    <w:rsid w:val="00A97C85"/>
    <w:rsid w:val="00AB0272"/>
    <w:rsid w:val="00AD25CA"/>
    <w:rsid w:val="00B0535B"/>
    <w:rsid w:val="00B23D0D"/>
    <w:rsid w:val="00B83288"/>
    <w:rsid w:val="00B8721F"/>
    <w:rsid w:val="00C93A8D"/>
    <w:rsid w:val="00CB0499"/>
    <w:rsid w:val="00CB6D64"/>
    <w:rsid w:val="00CF28F6"/>
    <w:rsid w:val="00E51610"/>
    <w:rsid w:val="00E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23397CE7"/>
  <w15:docId w15:val="{1C52923D-886F-4DAB-B6B9-EC37D646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3D0D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D0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5624F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24F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uiPriority w:val="99"/>
    <w:unhideWhenUsed/>
    <w:rsid w:val="002562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21F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21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3</cp:revision>
  <dcterms:created xsi:type="dcterms:W3CDTF">2017-01-30T18:29:00Z</dcterms:created>
  <dcterms:modified xsi:type="dcterms:W3CDTF">2017-01-30T18:29:00Z</dcterms:modified>
</cp:coreProperties>
</file>